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43C8A">
      <w:pPr>
        <w:pStyle w:val="PRODUCTO"/>
        <w:spacing w:line="240" w:lineRule="auto"/>
        <w:rPr>
          <w:color w:val="auto"/>
        </w:rPr>
      </w:pPr>
      <w:r>
        <w:rPr>
          <w:rFonts w:ascii="LB Helvetica Black" w:hAnsi="LB Helvetica Black"/>
          <w:b w:val="0"/>
          <w:color w:val="auto"/>
          <w:spacing w:val="0"/>
        </w:rPr>
        <w:t>Quick Bayt</w:t>
      </w:r>
      <w:r>
        <w:rPr>
          <w:rFonts w:ascii="B Helvetica Bold" w:hAnsi="B Helvetica Bold"/>
          <w:b w:val="0"/>
          <w:color w:val="auto"/>
          <w:spacing w:val="0"/>
          <w:sz w:val="12"/>
        </w:rPr>
        <w:t>M.R.</w:t>
      </w:r>
    </w:p>
    <w:p w:rsidR="00000000" w:rsidRDefault="00743C8A">
      <w:pPr>
        <w:pStyle w:val="CUERPODETEXT"/>
        <w:spacing w:line="248" w:lineRule="atLeast"/>
        <w:outlineLvl w:val="0"/>
        <w:rPr>
          <w:rFonts w:ascii="B Helvetica Bold" w:hAnsi="B Helvetica Bold"/>
          <w:b/>
        </w:rPr>
      </w:pPr>
      <w:r>
        <w:rPr>
          <w:rFonts w:ascii="B Helvetica Bold" w:hAnsi="B Helvetica Bold"/>
          <w:b/>
        </w:rPr>
        <w:t>Reg.RSCO PEC INAC 0199-317-349-001</w:t>
      </w:r>
    </w:p>
    <w:p w:rsidR="00000000" w:rsidRDefault="00743C8A">
      <w:pPr>
        <w:pStyle w:val="CUERPODETEXT"/>
        <w:spacing w:line="248" w:lineRule="atLeast"/>
        <w:outlineLvl w:val="0"/>
      </w:pPr>
      <w:r>
        <w:t>Insecticida del grupo de los cloronicotilínicos preparado en cebo para el control de moscas en instalaciones pecuarias.</w:t>
      </w:r>
    </w:p>
    <w:p w:rsidR="00000000" w:rsidRDefault="00743C8A">
      <w:pPr>
        <w:pStyle w:val="ENTRADAS"/>
        <w:spacing w:line="276" w:lineRule="atLeast"/>
        <w:outlineLvl w:val="0"/>
      </w:pPr>
      <w:r>
        <w:t>Descripción del producto</w:t>
      </w:r>
    </w:p>
    <w:p w:rsidR="00000000" w:rsidRDefault="00743C8A">
      <w:pPr>
        <w:pStyle w:val="CUERPODETEXT"/>
        <w:spacing w:line="276" w:lineRule="atLeast"/>
        <w:rPr>
          <w:color w:val="auto"/>
        </w:rPr>
      </w:pPr>
      <w:r>
        <w:rPr>
          <w:color w:val="auto"/>
        </w:rPr>
        <w:t xml:space="preserve">Insecticida de alta eficacia y seguridad  para el control de </w:t>
      </w:r>
      <w:r>
        <w:rPr>
          <w:color w:val="auto"/>
        </w:rPr>
        <w:t>moscas en instalaciones pecuarias.</w:t>
      </w:r>
    </w:p>
    <w:p w:rsidR="00000000" w:rsidRDefault="00743C8A">
      <w:pPr>
        <w:pStyle w:val="ENTRADAS"/>
        <w:spacing w:line="276" w:lineRule="atLeast"/>
        <w:outlineLvl w:val="0"/>
      </w:pPr>
      <w:r>
        <w:t>Fórmula</w:t>
      </w:r>
    </w:p>
    <w:p w:rsidR="00000000" w:rsidRDefault="00743C8A">
      <w:pPr>
        <w:pStyle w:val="ALINEACION"/>
        <w:spacing w:line="276" w:lineRule="atLeast"/>
      </w:pPr>
      <w:r>
        <w:t>Imidacloprid 1-((6-cloro-3-piridinil)</w:t>
      </w:r>
      <w:r>
        <w:br/>
        <w:t>metil) N-nitro-2-imidazolidinimine (equivalente</w:t>
      </w:r>
      <w:r>
        <w:br/>
        <w:t>a 0.05 g de ingrediente activo por kilogramo)</w:t>
      </w:r>
      <w:r>
        <w:tab/>
        <w:t>0.5%</w:t>
      </w:r>
    </w:p>
    <w:p w:rsidR="00000000" w:rsidRDefault="00743C8A">
      <w:pPr>
        <w:pStyle w:val="ALINEACION"/>
        <w:spacing w:line="276" w:lineRule="atLeast"/>
      </w:pPr>
      <w:r>
        <w:t>Atrayentes (Cis-9-tricoseno), saborizantes y</w:t>
      </w:r>
      <w:r>
        <w:br/>
        <w:t>compuestos relacionados</w:t>
      </w:r>
      <w:r>
        <w:tab/>
        <w:t>99.5%</w:t>
      </w:r>
    </w:p>
    <w:p w:rsidR="00000000" w:rsidRDefault="00743C8A">
      <w:pPr>
        <w:pStyle w:val="ENTRADAS"/>
        <w:spacing w:line="276" w:lineRule="atLeast"/>
        <w:outlineLvl w:val="0"/>
      </w:pPr>
      <w:r>
        <w:t>I</w:t>
      </w:r>
      <w:r>
        <w:t>ndicaciones de uso y dosificación</w:t>
      </w:r>
    </w:p>
    <w:p w:rsidR="00000000" w:rsidRDefault="00743C8A">
      <w:pPr>
        <w:pStyle w:val="CUERPODETEXT"/>
        <w:spacing w:line="276" w:lineRule="atLeast"/>
        <w:rPr>
          <w:color w:val="auto"/>
        </w:rPr>
      </w:pPr>
      <w:r>
        <w:rPr>
          <w:color w:val="auto"/>
        </w:rPr>
        <w:t>Plaga a controlar (moscas):</w:t>
      </w:r>
    </w:p>
    <w:p w:rsidR="00000000" w:rsidRDefault="00743C8A">
      <w:pPr>
        <w:pStyle w:val="ESPECIES"/>
        <w:spacing w:line="276" w:lineRule="atLeast"/>
      </w:pPr>
      <w:r>
        <w:t>Musca domestica</w:t>
      </w:r>
    </w:p>
    <w:p w:rsidR="00000000" w:rsidRDefault="00743C8A">
      <w:pPr>
        <w:pStyle w:val="ESPECIES"/>
        <w:spacing w:line="276" w:lineRule="atLeast"/>
      </w:pPr>
      <w:r>
        <w:t>Fannia cannicularis</w:t>
      </w:r>
    </w:p>
    <w:p w:rsidR="00000000" w:rsidRDefault="00743C8A">
      <w:pPr>
        <w:pStyle w:val="ESPECIES"/>
        <w:spacing w:line="276" w:lineRule="atLeast"/>
      </w:pPr>
      <w:r>
        <w:t>Musca autumnalis</w:t>
      </w:r>
    </w:p>
    <w:p w:rsidR="00000000" w:rsidRDefault="00743C8A">
      <w:pPr>
        <w:pStyle w:val="CUERPODETEXT"/>
        <w:spacing w:line="252" w:lineRule="atLeast"/>
        <w:rPr>
          <w:color w:val="auto"/>
        </w:rPr>
      </w:pPr>
      <w:r>
        <w:rPr>
          <w:b/>
          <w:color w:val="auto"/>
        </w:rPr>
        <w:t>Recomendaciones:</w:t>
      </w:r>
      <w:r>
        <w:rPr>
          <w:color w:val="auto"/>
        </w:rPr>
        <w:t xml:space="preserve"> Con brocha, formando una pasta mezclando 100 g de </w:t>
      </w:r>
      <w:r>
        <w:rPr>
          <w:rFonts w:ascii="LB Helvetica Black" w:hAnsi="LB Helvetica Black"/>
          <w:color w:val="auto"/>
        </w:rPr>
        <w:t>Quick Bayt</w:t>
      </w:r>
      <w:r>
        <w:rPr>
          <w:color w:val="auto"/>
        </w:rPr>
        <w:t xml:space="preserve"> en 100 ml de agua, para 45 a 50 m</w:t>
      </w:r>
      <w:r>
        <w:rPr>
          <w:color w:val="auto"/>
          <w:position w:val="7"/>
          <w:sz w:val="12"/>
        </w:rPr>
        <w:t>2</w:t>
      </w:r>
      <w:r>
        <w:rPr>
          <w:color w:val="auto"/>
        </w:rPr>
        <w:t xml:space="preserve">. Deje reposar la mezcla por </w:t>
      </w:r>
      <w:r>
        <w:rPr>
          <w:color w:val="auto"/>
        </w:rPr>
        <w:t xml:space="preserve">1 ó 2 y aplique. Es recomendable pintar en marcos de ventanas y puertas, columnas de soporte, trabes, vigas, etc. También se aplica en seco esparcido, cubriendo con 400 g de </w:t>
      </w:r>
      <w:r>
        <w:rPr>
          <w:rFonts w:ascii="LB Helvetica Black" w:hAnsi="LB Helvetica Black"/>
          <w:color w:val="auto"/>
        </w:rPr>
        <w:t>Quick Bayt</w:t>
      </w:r>
      <w:r>
        <w:rPr>
          <w:color w:val="auto"/>
        </w:rPr>
        <w:t xml:space="preserve"> una superficie de 180 m</w:t>
      </w:r>
      <w:r>
        <w:rPr>
          <w:color w:val="auto"/>
          <w:position w:val="7"/>
          <w:sz w:val="12"/>
        </w:rPr>
        <w:t>2</w:t>
      </w:r>
      <w:r>
        <w:rPr>
          <w:color w:val="auto"/>
        </w:rPr>
        <w:t>. Cúbrase toda la superficie del piso con los p</w:t>
      </w:r>
      <w:r>
        <w:rPr>
          <w:color w:val="auto"/>
        </w:rPr>
        <w:t xml:space="preserve">ellets de </w:t>
      </w:r>
      <w:r>
        <w:rPr>
          <w:rFonts w:ascii="LB Helvetica Black" w:hAnsi="LB Helvetica Black"/>
          <w:color w:val="auto"/>
        </w:rPr>
        <w:t>Quick Bayt</w:t>
      </w:r>
      <w:r>
        <w:rPr>
          <w:color w:val="auto"/>
        </w:rPr>
        <w:t>, especialmente en las áreas externas periféricas de las instalaciones, alejado de los animales, con la finalidad de atraer las moscas del interior de casetas y corrales. Evite el formar montículos.</w:t>
      </w:r>
    </w:p>
    <w:p w:rsidR="00000000" w:rsidRDefault="00743C8A">
      <w:pPr>
        <w:pStyle w:val="CUERPODETEXT"/>
        <w:spacing w:line="252" w:lineRule="atLeast"/>
        <w:rPr>
          <w:color w:val="auto"/>
        </w:rPr>
      </w:pPr>
      <w:r>
        <w:rPr>
          <w:b/>
          <w:color w:val="auto"/>
        </w:rPr>
        <w:t>Aplicación estratégica:</w:t>
      </w:r>
      <w:r>
        <w:rPr>
          <w:color w:val="auto"/>
        </w:rPr>
        <w:t xml:space="preserve"> En la mayoría</w:t>
      </w:r>
      <w:r>
        <w:rPr>
          <w:color w:val="auto"/>
        </w:rPr>
        <w:t xml:space="preserve"> de los casos no es necesario tratar la totalidad de una superficie, sino sólo en lugares estratégicos, es decir, zonas donde es mucho más probable que las moscas repocen, de manera que se incremente la eficiencia de la aplicación con una mayor economía en</w:t>
      </w:r>
      <w:r>
        <w:rPr>
          <w:color w:val="auto"/>
        </w:rPr>
        <w:t xml:space="preserve"> la cantidad de producto. Algunas de estas áreas son almacenes de alimentos, melaza, salas de parto, comederos, becerreras, a lo largo de casetas de aves o cerdos, etc. Por supuesto, la localización de dichos puntos depende de la inspección previa y del co</w:t>
      </w:r>
      <w:r>
        <w:rPr>
          <w:color w:val="auto"/>
        </w:rPr>
        <w:t>nocimiento detallado de los hábitos de las plagas que se desea controlar.</w:t>
      </w:r>
    </w:p>
    <w:p w:rsidR="00000000" w:rsidRDefault="00743C8A">
      <w:pPr>
        <w:pStyle w:val="ENTRADAS"/>
        <w:spacing w:line="256" w:lineRule="atLeast"/>
        <w:outlineLvl w:val="0"/>
      </w:pPr>
      <w:r>
        <w:t>Información complementaria</w:t>
      </w:r>
    </w:p>
    <w:p w:rsidR="00000000" w:rsidRDefault="00743C8A">
      <w:pPr>
        <w:pStyle w:val="CUERPODETEXT"/>
        <w:spacing w:line="256" w:lineRule="atLeast"/>
        <w:rPr>
          <w:color w:val="auto"/>
        </w:rPr>
      </w:pPr>
      <w:r>
        <w:rPr>
          <w:color w:val="auto"/>
        </w:rPr>
        <w:t xml:space="preserve">El ingrediente activo es de muy baja toxicidad, y no se conocen síntomas específicos por sobreexposición. </w:t>
      </w:r>
    </w:p>
    <w:p w:rsidR="00000000" w:rsidRDefault="00743C8A">
      <w:pPr>
        <w:pStyle w:val="CUERPODETEXT"/>
        <w:spacing w:line="256" w:lineRule="atLeast"/>
        <w:rPr>
          <w:color w:val="auto"/>
        </w:rPr>
      </w:pPr>
      <w:r>
        <w:rPr>
          <w:color w:val="auto"/>
        </w:rPr>
        <w:t>En caso de ingestión accidental, inducir el vómi</w:t>
      </w:r>
      <w:r>
        <w:rPr>
          <w:color w:val="auto"/>
        </w:rPr>
        <w:t>to dando al paciente dos vasos con agua e introduciendo el dedo por detrás de su lengua; repetir hasta que el vómito sea claro. No administre ninguna bebida si el paciente está inconsciente. Llame de inmediato al médico.</w:t>
      </w:r>
    </w:p>
    <w:p w:rsidR="00000000" w:rsidRDefault="00743C8A">
      <w:pPr>
        <w:pStyle w:val="CUERPODETEXT"/>
        <w:spacing w:line="248" w:lineRule="atLeast"/>
        <w:outlineLvl w:val="0"/>
        <w:rPr>
          <w:b/>
        </w:rPr>
      </w:pPr>
      <w:r>
        <w:t xml:space="preserve">Presentaciones: </w:t>
      </w:r>
      <w:r>
        <w:rPr>
          <w:b/>
        </w:rPr>
        <w:t>Sobre de 15 g, bote</w:t>
      </w:r>
      <w:r>
        <w:rPr>
          <w:b/>
        </w:rPr>
        <w:t xml:space="preserve"> de 350 g y cubeta de 2 kg.</w:t>
      </w:r>
    </w:p>
    <w:p w:rsidR="00743C8A" w:rsidRDefault="00743C8A"/>
    <w:sectPr w:rsidR="00743C8A">
      <w:headerReference w:type="default" r:id="rId6"/>
      <w:pgSz w:w="12240" w:h="15840"/>
      <w:pgMar w:top="2340" w:right="1077" w:bottom="1418" w:left="1440"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8A" w:rsidRDefault="00743C8A">
      <w:r>
        <w:separator/>
      </w:r>
    </w:p>
  </w:endnote>
  <w:endnote w:type="continuationSeparator" w:id="0">
    <w:p w:rsidR="00743C8A" w:rsidRDefault="00743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LB Helvetica Black">
    <w:altName w:val="Courier New"/>
    <w:charset w:val="00"/>
    <w:family w:val="auto"/>
    <w:pitch w:val="variable"/>
    <w:sig w:usb0="03000000" w:usb1="00000000" w:usb2="00000000" w:usb3="00000000" w:csb0="00000001" w:csb1="00000000"/>
  </w:font>
  <w:font w:name="B Helvetica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8A" w:rsidRDefault="00743C8A">
      <w:r>
        <w:separator/>
      </w:r>
    </w:p>
  </w:footnote>
  <w:footnote w:type="continuationSeparator" w:id="0">
    <w:p w:rsidR="00743C8A" w:rsidRDefault="00743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43C8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82.8pt;margin-top:28.35pt;width:74.6pt;height:74.55pt;z-index:-251658240;visibility:visible;mso-wrap-edited:t;mso-position-horizontal-relative:page;mso-position-vertical-relative:page" wrapcoords="-52 0 -52 21547 21600 21547 21589 -17 -52 0" o:allowincell="f" fillcolor="window">
          <v:imagedata r:id="rId1" r:pict="rId2" o:title=""/>
          <w10:wrap anchorx="page" anchory="page"/>
        </v:shape>
        <o:OLEObject Type="Embed" ProgID="Word.Picture.8" ShapeID="_x0000_s2052" DrawAspect="Content" ObjectID="_1471326678" r:id="rId3"/>
      </w:pict>
    </w:r>
    <w:r w:rsidR="00DC4E83">
      <w:rPr>
        <w:noProof/>
        <w:lang w:eastAsia="es-MX"/>
      </w:rPr>
      <w:drawing>
        <wp:anchor distT="0" distB="0" distL="114300" distR="114300" simplePos="0" relativeHeight="251657216" behindDoc="1" locked="0" layoutInCell="0" allowOverlap="1">
          <wp:simplePos x="0" y="0"/>
          <wp:positionH relativeFrom="page">
            <wp:posOffset>885825</wp:posOffset>
          </wp:positionH>
          <wp:positionV relativeFrom="page">
            <wp:posOffset>662305</wp:posOffset>
          </wp:positionV>
          <wp:extent cx="856615" cy="332740"/>
          <wp:effectExtent l="19050" t="0" r="635" b="0"/>
          <wp:wrapNone/>
          <wp:docPr id="3" name="Imagen 3" descr=":::NUEVO LOGO BAYER:Bayer Corporativo:letra_gris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BAYER:Bayer Corporativo:letra_grises.tiff"/>
                  <pic:cNvPicPr>
                    <a:picLocks noChangeAspect="1" noChangeArrowheads="1"/>
                  </pic:cNvPicPr>
                </pic:nvPicPr>
                <pic:blipFill>
                  <a:blip r:embed="rId4"/>
                  <a:srcRect/>
                  <a:stretch>
                    <a:fillRect/>
                  </a:stretch>
                </pic:blipFill>
                <pic:spPr bwMode="auto">
                  <a:xfrm>
                    <a:off x="0" y="0"/>
                    <a:ext cx="856615" cy="33274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4E83"/>
    <w:rsid w:val="00743C8A"/>
    <w:rsid w:val="00DC4E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PRODUCTO">
    <w:name w:val="PRODUCTO"/>
    <w:pPr>
      <w:widowControl w:val="0"/>
      <w:autoSpaceDE w:val="0"/>
      <w:autoSpaceDN w:val="0"/>
      <w:adjustRightInd w:val="0"/>
      <w:spacing w:line="560" w:lineRule="atLeast"/>
    </w:pPr>
    <w:rPr>
      <w:rFonts w:ascii="Helvetica" w:hAnsi="Helvetica"/>
      <w:b/>
      <w:color w:val="000000"/>
      <w:spacing w:val="-15"/>
      <w:sz w:val="52"/>
      <w:lang w:val="es-ES_tradnl"/>
    </w:rPr>
  </w:style>
  <w:style w:type="paragraph" w:customStyle="1" w:styleId="ALINEACION">
    <w:name w:val="ALINEACION"/>
    <w:basedOn w:val="CUERPODETEXT"/>
    <w:pPr>
      <w:tabs>
        <w:tab w:val="right" w:leader="dot" w:pos="5060"/>
      </w:tabs>
      <w:spacing w:before="0" w:after="0"/>
      <w:jc w:val="left"/>
    </w:pPr>
    <w:rPr>
      <w:color w:val="auto"/>
    </w:rPr>
  </w:style>
  <w:style w:type="paragraph" w:customStyle="1" w:styleId="CUERPODETEXT">
    <w:name w:val="CUERPO DE TEXT"/>
    <w:pPr>
      <w:widowControl w:val="0"/>
      <w:autoSpaceDE w:val="0"/>
      <w:autoSpaceDN w:val="0"/>
      <w:adjustRightInd w:val="0"/>
      <w:spacing w:before="60" w:after="60" w:line="260" w:lineRule="atLeast"/>
      <w:jc w:val="both"/>
    </w:pPr>
    <w:rPr>
      <w:rFonts w:ascii="Times" w:hAnsi="Times"/>
      <w:color w:val="000000"/>
      <w:sz w:val="22"/>
      <w:lang w:val="es-ES_tradnl"/>
    </w:rPr>
  </w:style>
  <w:style w:type="paragraph" w:customStyle="1" w:styleId="ENTRADAS">
    <w:name w:val="ENTRADAS"/>
    <w:pPr>
      <w:widowControl w:val="0"/>
      <w:autoSpaceDE w:val="0"/>
      <w:autoSpaceDN w:val="0"/>
      <w:adjustRightInd w:val="0"/>
      <w:spacing w:before="120" w:after="120" w:line="280" w:lineRule="atLeast"/>
    </w:pPr>
    <w:rPr>
      <w:rFonts w:ascii="Helvetica" w:hAnsi="Helvetica"/>
      <w:b/>
      <w:sz w:val="24"/>
      <w:lang w:val="es-ES_tradnl"/>
    </w:rPr>
  </w:style>
  <w:style w:type="paragraph" w:customStyle="1" w:styleId="ESPECIES">
    <w:name w:val="ESPECIES"/>
    <w:basedOn w:val="CUERPODETEXT"/>
    <w:pPr>
      <w:spacing w:before="20" w:after="20"/>
      <w:ind w:left="480"/>
    </w:pPr>
    <w:rPr>
      <w: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cz"/><Relationship Id="rId1" Type="http://schemas.openxmlformats.org/officeDocument/2006/relationships/image" Target="media/image1.w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Hoja Múltiple</vt:lpstr>
    </vt:vector>
  </TitlesOfParts>
  <Company>Códice Producciones S.A. de C.V.</Company>
  <LinksUpToDate>false</LinksUpToDate>
  <CharactersWithSpaces>2329</CharactersWithSpaces>
  <SharedDoc>false</SharedDoc>
  <HLinks>
    <vt:vector size="6" baseType="variant">
      <vt:variant>
        <vt:i4>1179759</vt:i4>
      </vt:variant>
      <vt:variant>
        <vt:i4>-1</vt:i4>
      </vt:variant>
      <vt:variant>
        <vt:i4>2051</vt:i4>
      </vt:variant>
      <vt:variant>
        <vt:i4>1</vt:i4>
      </vt:variant>
      <vt:variant>
        <vt:lpwstr>:::NUEVO LOGO BAYER:Bayer Corporativo:letra_grises.tiff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Múltiple</dc:title>
  <dc:subject/>
  <dc:creator>Sergio Lazo Briones</dc:creator>
  <cp:keywords/>
  <dc:description/>
  <cp:lastModifiedBy>MONTSANZ</cp:lastModifiedBy>
  <cp:revision>2</cp:revision>
  <dcterms:created xsi:type="dcterms:W3CDTF">2014-09-04T14:05:00Z</dcterms:created>
  <dcterms:modified xsi:type="dcterms:W3CDTF">2014-09-04T14:05:00Z</dcterms:modified>
</cp:coreProperties>
</file>